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4936E" w14:textId="77777777" w:rsidR="006B5C21" w:rsidRDefault="006B5C21" w:rsidP="006B5C21">
      <w:pPr>
        <w:jc w:val="both"/>
      </w:pPr>
      <w:bookmarkStart w:id="0" w:name="_GoBack"/>
      <w:bookmarkEnd w:id="0"/>
    </w:p>
    <w:p w14:paraId="1A989FCE" w14:textId="77777777" w:rsidR="007F5FE1" w:rsidRDefault="007F5FE1" w:rsidP="006B5C21">
      <w:pPr>
        <w:jc w:val="both"/>
      </w:pPr>
    </w:p>
    <w:p w14:paraId="6C376831" w14:textId="77777777" w:rsidR="007F5FE1" w:rsidRPr="006C6D4F" w:rsidRDefault="007F5FE1" w:rsidP="006C6D4F">
      <w:pPr>
        <w:jc w:val="center"/>
        <w:rPr>
          <w:b/>
        </w:rPr>
      </w:pPr>
      <w:r w:rsidRPr="006C6D4F">
        <w:rPr>
          <w:b/>
        </w:rPr>
        <w:t xml:space="preserve">Guidelines for the Healing Plan and the </w:t>
      </w:r>
      <w:proofErr w:type="gramStart"/>
      <w:r w:rsidRPr="006C6D4F">
        <w:rPr>
          <w:b/>
        </w:rPr>
        <w:t>GO SLOW</w:t>
      </w:r>
      <w:proofErr w:type="gramEnd"/>
      <w:r w:rsidRPr="006C6D4F">
        <w:rPr>
          <w:b/>
        </w:rPr>
        <w:t xml:space="preserve"> crisis protocol</w:t>
      </w:r>
    </w:p>
    <w:p w14:paraId="24A50F25" w14:textId="77777777" w:rsidR="007F5FE1" w:rsidRDefault="007F5FE1" w:rsidP="006B5C21">
      <w:pPr>
        <w:jc w:val="both"/>
      </w:pPr>
    </w:p>
    <w:p w14:paraId="6B42D548" w14:textId="77777777" w:rsidR="007F5FE1" w:rsidRDefault="007F5FE1" w:rsidP="006B5C21">
      <w:pPr>
        <w:jc w:val="both"/>
      </w:pPr>
    </w:p>
    <w:p w14:paraId="7DFD18FF" w14:textId="77777777" w:rsidR="007F5FE1" w:rsidRDefault="007F5FE1" w:rsidP="006B5C21">
      <w:pPr>
        <w:jc w:val="both"/>
      </w:pPr>
      <w:r>
        <w:t xml:space="preserve">In most places throughout the country, planning for an individual your organization supports is a formal document. It may dictate in scope and content through regulations or, in some cases, the planning process is separated from the provision of services. So, your agency might have input but cannot add to or take away from the overall structure of the plan. In light of this, you probably already have ways your agency participates in planning. </w:t>
      </w:r>
    </w:p>
    <w:p w14:paraId="71B4F9ED" w14:textId="77777777" w:rsidR="007F5FE1" w:rsidRDefault="007F5FE1" w:rsidP="006B5C21">
      <w:pPr>
        <w:jc w:val="both"/>
      </w:pPr>
    </w:p>
    <w:p w14:paraId="46E4ECB6" w14:textId="77777777" w:rsidR="007F5FE1" w:rsidRDefault="007F5FE1" w:rsidP="006B5C21">
      <w:pPr>
        <w:jc w:val="both"/>
      </w:pPr>
      <w:r>
        <w:t xml:space="preserve">The Healing Plan and the </w:t>
      </w:r>
      <w:proofErr w:type="gramStart"/>
      <w:r>
        <w:t>GO SLOW</w:t>
      </w:r>
      <w:proofErr w:type="gramEnd"/>
      <w:r>
        <w:t xml:space="preserve"> Crisis Protocol are not meant to interrupt that process but to assist you in approaching the planning process considering the change to a trauma-responsive environment. </w:t>
      </w:r>
      <w:r w:rsidR="00CE6DFE">
        <w:t xml:space="preserve">They are internal tools for practical application. </w:t>
      </w:r>
      <w:r>
        <w:t xml:space="preserve">How you use </w:t>
      </w:r>
      <w:r w:rsidR="00CE6DFE">
        <w:t>these tools</w:t>
      </w:r>
      <w:r>
        <w:t xml:space="preserve"> is completely up to you. Here are some options.</w:t>
      </w:r>
    </w:p>
    <w:p w14:paraId="5759E672" w14:textId="77777777" w:rsidR="007F5FE1" w:rsidRDefault="007F5FE1" w:rsidP="006B5C21">
      <w:pPr>
        <w:jc w:val="both"/>
      </w:pPr>
    </w:p>
    <w:p w14:paraId="2EEA8592" w14:textId="77777777" w:rsidR="00CE6DFE" w:rsidRPr="006C6D4F" w:rsidRDefault="00CE6DFE" w:rsidP="006B5C21">
      <w:pPr>
        <w:jc w:val="both"/>
        <w:rPr>
          <w:b/>
        </w:rPr>
      </w:pPr>
      <w:r w:rsidRPr="006C6D4F">
        <w:rPr>
          <w:b/>
        </w:rPr>
        <w:t>Prepare for Planning</w:t>
      </w:r>
    </w:p>
    <w:p w14:paraId="761309ED" w14:textId="77777777" w:rsidR="00CE6DFE" w:rsidRDefault="00CE6DFE" w:rsidP="006B5C21">
      <w:pPr>
        <w:jc w:val="both"/>
      </w:pPr>
      <w:r>
        <w:t>Whether your role in planning is participatory or you have to follow strict formats in planning, the Healing Plan can be helpful in organizing your thought and getting input from direct care staff in preparation for planning. These tools can guide the planning toward a trauma-responsive perspective. They help translate the values and practices or Trauma Responsive Care into practical actions.</w:t>
      </w:r>
    </w:p>
    <w:p w14:paraId="5370CBC6" w14:textId="77777777" w:rsidR="00CE6DFE" w:rsidRDefault="00CE6DFE" w:rsidP="006B5C21">
      <w:pPr>
        <w:jc w:val="both"/>
      </w:pPr>
    </w:p>
    <w:p w14:paraId="29463C61" w14:textId="77777777" w:rsidR="00CE6DFE" w:rsidRPr="006C6D4F" w:rsidRDefault="00CE6DFE" w:rsidP="006B5C21">
      <w:pPr>
        <w:jc w:val="both"/>
        <w:rPr>
          <w:b/>
        </w:rPr>
      </w:pPr>
      <w:r w:rsidRPr="006C6D4F">
        <w:rPr>
          <w:b/>
        </w:rPr>
        <w:t>When you’re stuck</w:t>
      </w:r>
    </w:p>
    <w:p w14:paraId="068719BA" w14:textId="77777777" w:rsidR="00CE6DFE" w:rsidRDefault="002E64B7" w:rsidP="006B5C21">
      <w:pPr>
        <w:jc w:val="both"/>
      </w:pPr>
      <w:r>
        <w:t>When a problem or issues arises, these tools can help work through the issues from a trauma-responsive perspective.</w:t>
      </w:r>
      <w:r w:rsidR="00C213CE">
        <w:t xml:space="preserve"> They can be used in </w:t>
      </w:r>
      <w:r w:rsidR="0015163B">
        <w:t>team meeting to troubleshoot approaches to maximize in a planful way, helping someone feel safe, connected and in control.</w:t>
      </w:r>
    </w:p>
    <w:p w14:paraId="07F2A8CD" w14:textId="77777777" w:rsidR="0015163B" w:rsidRDefault="0015163B" w:rsidP="006B5C21">
      <w:pPr>
        <w:jc w:val="both"/>
      </w:pPr>
    </w:p>
    <w:p w14:paraId="034264BE" w14:textId="77777777" w:rsidR="0015163B" w:rsidRPr="0015163B" w:rsidRDefault="0015163B" w:rsidP="006B5C21">
      <w:pPr>
        <w:jc w:val="both"/>
        <w:rPr>
          <w:b/>
        </w:rPr>
      </w:pPr>
      <w:r w:rsidRPr="0015163B">
        <w:rPr>
          <w:b/>
        </w:rPr>
        <w:t>Training</w:t>
      </w:r>
    </w:p>
    <w:p w14:paraId="251F7D34" w14:textId="77777777" w:rsidR="0015163B" w:rsidRDefault="0015163B" w:rsidP="006B5C21">
      <w:pPr>
        <w:jc w:val="both"/>
      </w:pPr>
      <w:r>
        <w:t>These two tools can also be used as exercises in training, based on participant’s real experiences to help them not only learn but experience applying Trauma-Responsive Care.</w:t>
      </w:r>
    </w:p>
    <w:p w14:paraId="441305DD" w14:textId="77777777" w:rsidR="0015163B" w:rsidRDefault="0015163B" w:rsidP="006B5C21">
      <w:pPr>
        <w:jc w:val="both"/>
      </w:pPr>
    </w:p>
    <w:p w14:paraId="28D4D530" w14:textId="77777777" w:rsidR="0015163B" w:rsidRPr="00953376" w:rsidRDefault="0015163B" w:rsidP="006B5C21">
      <w:pPr>
        <w:jc w:val="both"/>
        <w:rPr>
          <w:b/>
        </w:rPr>
      </w:pPr>
      <w:r w:rsidRPr="00953376">
        <w:rPr>
          <w:b/>
        </w:rPr>
        <w:t>Recommendations</w:t>
      </w:r>
    </w:p>
    <w:p w14:paraId="08036D7B" w14:textId="77777777" w:rsidR="0015163B" w:rsidRDefault="0015163B" w:rsidP="006B5C21">
      <w:pPr>
        <w:jc w:val="both"/>
      </w:pPr>
      <w:r>
        <w:t>While some agencies will use these tool</w:t>
      </w:r>
      <w:r w:rsidR="00953376">
        <w:t>s</w:t>
      </w:r>
      <w:r>
        <w:t xml:space="preserve"> a great deal, others may have systems already in place that</w:t>
      </w:r>
      <w:r w:rsidR="00953376">
        <w:t xml:space="preserve"> can be augmented with some of the content reflected in these tools. Our only general recommendation is that you use them enough at first to feel certain you have practical ways to accomplish what these tools accomplish.</w:t>
      </w:r>
    </w:p>
    <w:sectPr w:rsidR="0015163B" w:rsidSect="00BB5604">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B2EAA" w14:textId="77777777" w:rsidR="00815F02" w:rsidRDefault="00815F02" w:rsidP="006B5C21">
      <w:r>
        <w:separator/>
      </w:r>
    </w:p>
  </w:endnote>
  <w:endnote w:type="continuationSeparator" w:id="0">
    <w:p w14:paraId="143E2675" w14:textId="77777777" w:rsidR="00815F02" w:rsidRDefault="00815F02" w:rsidP="006B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BD295" w14:textId="77777777" w:rsidR="006B5C21" w:rsidRDefault="006B5C21" w:rsidP="006B5C21">
    <w:pPr>
      <w:pStyle w:val="Footer"/>
      <w:tabs>
        <w:tab w:val="left" w:pos="6800"/>
      </w:tabs>
    </w:pPr>
    <w:r>
      <w:tab/>
    </w:r>
    <w:r>
      <w:rPr>
        <w:noProof/>
      </w:rPr>
      <mc:AlternateContent>
        <mc:Choice Requires="wps">
          <w:drawing>
            <wp:anchor distT="0" distB="0" distL="114300" distR="114300" simplePos="0" relativeHeight="251659264" behindDoc="0" locked="0" layoutInCell="1" allowOverlap="1" wp14:anchorId="6156E1BF" wp14:editId="5D1F44E9">
              <wp:simplePos x="0" y="0"/>
              <wp:positionH relativeFrom="column">
                <wp:posOffset>0</wp:posOffset>
              </wp:positionH>
              <wp:positionV relativeFrom="paragraph">
                <wp:posOffset>-6350</wp:posOffset>
              </wp:positionV>
              <wp:extent cx="54864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54864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59D4A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 to="6in,-.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" strokecolor="black [3213]" strokeweight=".25pt"/>
          </w:pict>
        </mc:Fallback>
      </mc:AlternateContent>
    </w:r>
    <w:r>
      <w:tab/>
    </w:r>
  </w:p>
  <w:p w14:paraId="755A6F33" w14:textId="77777777" w:rsidR="006B5C21" w:rsidRPr="006B5C21" w:rsidRDefault="006B5C21" w:rsidP="006B5C21">
    <w:pPr>
      <w:pStyle w:val="Footer"/>
      <w:jc w:val="center"/>
      <w:rPr>
        <w:color w:val="008000"/>
      </w:rPr>
    </w:pPr>
    <w:r w:rsidRPr="006B5C21">
      <w:rPr>
        <w:color w:val="008000"/>
      </w:rPr>
      <w:t>www.aldridgepalay.com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81BEC" w14:textId="77777777" w:rsidR="00815F02" w:rsidRDefault="00815F02" w:rsidP="006B5C21">
      <w:r>
        <w:separator/>
      </w:r>
    </w:p>
  </w:footnote>
  <w:footnote w:type="continuationSeparator" w:id="0">
    <w:p w14:paraId="1A76F237" w14:textId="77777777" w:rsidR="00815F02" w:rsidRDefault="00815F02" w:rsidP="006B5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CE19" w14:textId="77777777" w:rsidR="006B5C21" w:rsidRDefault="006B5C21" w:rsidP="006B5C21">
    <w:pPr>
      <w:pStyle w:val="Header"/>
      <w:jc w:val="center"/>
    </w:pPr>
    <w:r>
      <w:rPr>
        <w:noProof/>
      </w:rPr>
      <w:drawing>
        <wp:inline distT="0" distB="0" distL="0" distR="0" wp14:anchorId="4E358B97" wp14:editId="773903E2">
          <wp:extent cx="812800" cy="914400"/>
          <wp:effectExtent l="0" t="0" r="0" b="0"/>
          <wp:docPr id="1" name="Picture 1" descr="Macintosh HD:Users:apg:Desktop:1. AP Business Office:Business Docs:Logo:new:Logo Vectored:New_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pg:Desktop:1. AP Business Office:Business Docs:Logo:new:Logo Vectored:New_Logo.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914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AES" w:cryptAlgorithmClass="hash" w:cryptAlgorithmType="typeAny" w:cryptAlgorithmSid="14" w:cryptSpinCount="100000" w:hash="Yx6jS4FtpECDyboYCYxNo/hwUGqvPk3Ghnn30gP7owOYvWcp7Sb0I5EdfrGUOz3T2tbnxGVg9Ajk09L44uSSrg==" w:salt="CZVzKoH0Oz8Fjm7yBUJ4HQ=="/>
  <w:zoom w:percent="163"/>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E1"/>
    <w:rsid w:val="0015163B"/>
    <w:rsid w:val="002E64B7"/>
    <w:rsid w:val="006B5C21"/>
    <w:rsid w:val="006C6D4F"/>
    <w:rsid w:val="007F5FE1"/>
    <w:rsid w:val="00815F02"/>
    <w:rsid w:val="00953376"/>
    <w:rsid w:val="00BB5604"/>
    <w:rsid w:val="00C0076B"/>
    <w:rsid w:val="00C213CE"/>
    <w:rsid w:val="00CE6DFE"/>
    <w:rsid w:val="00F12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8E04FD"/>
  <w14:defaultImageDpi w14:val="300"/>
  <w15:docId w15:val="{EEEB3047-4D43-4447-9017-AC6630FB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C21"/>
    <w:pPr>
      <w:tabs>
        <w:tab w:val="center" w:pos="4320"/>
        <w:tab w:val="right" w:pos="8640"/>
      </w:tabs>
    </w:pPr>
  </w:style>
  <w:style w:type="character" w:customStyle="1" w:styleId="HeaderChar">
    <w:name w:val="Header Char"/>
    <w:basedOn w:val="DefaultParagraphFont"/>
    <w:link w:val="Header"/>
    <w:uiPriority w:val="99"/>
    <w:rsid w:val="006B5C21"/>
  </w:style>
  <w:style w:type="paragraph" w:styleId="Footer">
    <w:name w:val="footer"/>
    <w:basedOn w:val="Normal"/>
    <w:link w:val="FooterChar"/>
    <w:uiPriority w:val="99"/>
    <w:unhideWhenUsed/>
    <w:rsid w:val="006B5C21"/>
    <w:pPr>
      <w:tabs>
        <w:tab w:val="center" w:pos="4320"/>
        <w:tab w:val="right" w:pos="8640"/>
      </w:tabs>
    </w:pPr>
  </w:style>
  <w:style w:type="character" w:customStyle="1" w:styleId="FooterChar">
    <w:name w:val="Footer Char"/>
    <w:basedOn w:val="DefaultParagraphFont"/>
    <w:link w:val="Footer"/>
    <w:uiPriority w:val="99"/>
    <w:rsid w:val="006B5C21"/>
  </w:style>
  <w:style w:type="paragraph" w:styleId="BalloonText">
    <w:name w:val="Balloon Text"/>
    <w:basedOn w:val="Normal"/>
    <w:link w:val="BalloonTextChar"/>
    <w:uiPriority w:val="99"/>
    <w:semiHidden/>
    <w:unhideWhenUsed/>
    <w:rsid w:val="006B5C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5C2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pg/Library/Group%20Containers/UBF8T346G9.Office/User%20Content.localized/Templates.localized/Proposal%20L%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Proposal L Head.dotx</Template>
  <TotalTime>96</TotalTime>
  <Pages>1</Pages>
  <Words>307</Words>
  <Characters>1754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APG</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Aldridge</dc:creator>
  <cp:keywords/>
  <dc:description/>
  <cp:lastModifiedBy>Kevin Aldridge</cp:lastModifiedBy>
  <cp:revision>2</cp:revision>
  <dcterms:created xsi:type="dcterms:W3CDTF">2019-05-09T14:42:00Z</dcterms:created>
  <dcterms:modified xsi:type="dcterms:W3CDTF">2019-05-29T17:31:00Z</dcterms:modified>
</cp:coreProperties>
</file>